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6044" w14:textId="77777777" w:rsidR="00ED0C49" w:rsidRDefault="00ED0C49" w:rsidP="009250EE">
      <w:pPr>
        <w:pStyle w:val="Nadpis1"/>
        <w:rPr>
          <w:rStyle w:val="Znakapoznpodarou"/>
        </w:rPr>
      </w:pPr>
      <w:r w:rsidRPr="544EEA91">
        <w:t xml:space="preserve">Stížnosti proti postupu poskytovatele při poskytování zdravotních služeb nebo proti činnostem souvisejícím se zdravotními službami </w:t>
      </w:r>
    </w:p>
    <w:p w14:paraId="6135F22B" w14:textId="77777777" w:rsidR="009250EE" w:rsidRDefault="009250EE" w:rsidP="00ED0C49">
      <w:pPr>
        <w:spacing w:line="360" w:lineRule="auto"/>
        <w:jc w:val="both"/>
        <w:rPr>
          <w:rFonts w:cstheme="minorHAnsi"/>
        </w:rPr>
      </w:pPr>
    </w:p>
    <w:p w14:paraId="01EDFDF4" w14:textId="0FA467A5" w:rsidR="00ED0C49" w:rsidRPr="00CA417F" w:rsidRDefault="009250EE" w:rsidP="002E3724">
      <w:pPr>
        <w:pStyle w:val="Nadpis3"/>
      </w:pPr>
      <w:r>
        <w:t>Kdo může stížnost podat</w:t>
      </w:r>
      <w:r w:rsidR="00ED0C49">
        <w:t>:</w:t>
      </w:r>
    </w:p>
    <w:p w14:paraId="223426AD" w14:textId="77777777" w:rsidR="00ED0C49" w:rsidRPr="00CA417F" w:rsidRDefault="00ED0C49" w:rsidP="00ED0C49">
      <w:pPr>
        <w:pStyle w:val="Odstavecseseznamem"/>
        <w:spacing w:line="360" w:lineRule="auto"/>
        <w:jc w:val="both"/>
        <w:rPr>
          <w:rFonts w:cstheme="minorHAnsi"/>
        </w:rPr>
      </w:pPr>
      <w:r w:rsidRPr="00CA417F">
        <w:rPr>
          <w:rFonts w:cstheme="minorHAnsi"/>
        </w:rPr>
        <w:t>a) pacient,</w:t>
      </w:r>
    </w:p>
    <w:p w14:paraId="45BC74B2" w14:textId="77777777" w:rsidR="00ED0C49" w:rsidRPr="00CA417F" w:rsidRDefault="00ED0C49" w:rsidP="00ED0C49">
      <w:pPr>
        <w:pStyle w:val="Odstavecseseznamem"/>
        <w:spacing w:line="360" w:lineRule="auto"/>
        <w:jc w:val="both"/>
        <w:rPr>
          <w:rFonts w:cstheme="minorHAnsi"/>
        </w:rPr>
      </w:pPr>
      <w:r w:rsidRPr="00CA417F">
        <w:rPr>
          <w:rFonts w:cstheme="minorHAnsi"/>
        </w:rPr>
        <w:t>b) zákonný zástupce nebo opatrovník pacienta,</w:t>
      </w:r>
    </w:p>
    <w:p w14:paraId="69D5A3D5" w14:textId="77777777" w:rsidR="00ED0C49" w:rsidRPr="00CA417F" w:rsidRDefault="00ED0C49" w:rsidP="00ED0C49">
      <w:pPr>
        <w:pStyle w:val="Odstavecseseznamem"/>
        <w:spacing w:line="360" w:lineRule="auto"/>
        <w:jc w:val="both"/>
        <w:rPr>
          <w:rFonts w:cstheme="minorHAnsi"/>
        </w:rPr>
      </w:pPr>
      <w:r w:rsidRPr="00CA417F">
        <w:rPr>
          <w:rFonts w:cstheme="minorHAnsi"/>
        </w:rPr>
        <w:t>c) osoba blízká v případě, že pacient tak nemůže učinit s ohledem na svůj zdravotní stav nebo pokud zemřel, nebo</w:t>
      </w:r>
    </w:p>
    <w:p w14:paraId="43FB140C" w14:textId="77777777" w:rsidR="00ED0C49" w:rsidRDefault="00ED0C49" w:rsidP="00ED0C49">
      <w:pPr>
        <w:pStyle w:val="Odstavecseseznamem"/>
        <w:spacing w:line="360" w:lineRule="auto"/>
        <w:jc w:val="both"/>
        <w:rPr>
          <w:rFonts w:cstheme="minorHAnsi"/>
        </w:rPr>
      </w:pPr>
      <w:r w:rsidRPr="00CA417F">
        <w:rPr>
          <w:rFonts w:cstheme="minorHAnsi"/>
        </w:rPr>
        <w:t>d) osoba zmocněná pacientem.</w:t>
      </w:r>
    </w:p>
    <w:p w14:paraId="43597613" w14:textId="097BB618" w:rsidR="00ED0C49" w:rsidRDefault="009250EE" w:rsidP="00ED0C49">
      <w:pPr>
        <w:pStyle w:val="Odstavecseseznamem"/>
        <w:spacing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A13892C" w14:textId="77777777" w:rsidR="00ED0C49" w:rsidRDefault="00ED0C49" w:rsidP="00ED0C49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3A8247C2" w14:textId="47CBF2F3" w:rsidR="00ED0C49" w:rsidRDefault="009250EE" w:rsidP="002E3724">
      <w:pPr>
        <w:pStyle w:val="Nadpis3"/>
      </w:pPr>
      <w:r>
        <w:t xml:space="preserve">Jak je možné stížnost podat:  </w:t>
      </w:r>
    </w:p>
    <w:p w14:paraId="3307B119" w14:textId="4B21E356" w:rsidR="00ED0C49" w:rsidRDefault="00ED0C49" w:rsidP="00ED0C49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544EEA91">
        <w:t xml:space="preserve">ústně, či telefonicky k vedoucí </w:t>
      </w:r>
      <w:r>
        <w:t>služby</w:t>
      </w:r>
      <w:r w:rsidRPr="544EEA91">
        <w:t>, zdravotn</w:t>
      </w:r>
      <w:r>
        <w:t>í sestře</w:t>
      </w:r>
      <w:r w:rsidRPr="544EEA91">
        <w:t xml:space="preserve"> služby</w:t>
      </w:r>
      <w:r w:rsidR="009250EE">
        <w:t xml:space="preserve"> </w:t>
      </w:r>
    </w:p>
    <w:p w14:paraId="17CD85C3" w14:textId="1973108E" w:rsidR="009250EE" w:rsidRDefault="00ED0C49" w:rsidP="009250EE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544EEA91">
        <w:t xml:space="preserve">písemně – </w:t>
      </w:r>
      <w:r w:rsidR="009250EE">
        <w:t xml:space="preserve">na adresu pracoviště služby nebo na adresu: </w:t>
      </w:r>
    </w:p>
    <w:p w14:paraId="79FC06F2" w14:textId="77777777" w:rsidR="009250EE" w:rsidRDefault="009250EE" w:rsidP="009250EE">
      <w:pPr>
        <w:spacing w:line="360" w:lineRule="auto"/>
        <w:ind w:left="1080"/>
        <w:jc w:val="both"/>
      </w:pPr>
      <w:r>
        <w:t xml:space="preserve">Diecézní charita Litoměřice </w:t>
      </w:r>
    </w:p>
    <w:p w14:paraId="3FE8A9A2" w14:textId="2650849B" w:rsidR="009250EE" w:rsidRDefault="009250EE" w:rsidP="009250EE">
      <w:pPr>
        <w:spacing w:line="360" w:lineRule="auto"/>
        <w:ind w:left="1080"/>
        <w:jc w:val="both"/>
      </w:pPr>
      <w:r>
        <w:t xml:space="preserve">Kosmonautů 2022, 412 01 Litoměřice </w:t>
      </w:r>
    </w:p>
    <w:p w14:paraId="5656F3A9" w14:textId="023641A7" w:rsidR="009250EE" w:rsidRDefault="009250EE" w:rsidP="009250EE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mailem na adresu vedoucí služby nebo na adresu: </w:t>
      </w:r>
      <w:hyperlink r:id="rId5" w:history="1">
        <w:r w:rsidRPr="004A1668">
          <w:rPr>
            <w:rStyle w:val="Hypertextovodkaz"/>
          </w:rPr>
          <w:t>roman.strizenec@ltm.charita.cz</w:t>
        </w:r>
      </w:hyperlink>
      <w:r>
        <w:t xml:space="preserve">  </w:t>
      </w:r>
    </w:p>
    <w:p w14:paraId="32D4F38C" w14:textId="568BF0E4" w:rsidR="00ED0C49" w:rsidRPr="009250EE" w:rsidRDefault="00ED0C49" w:rsidP="002E3724">
      <w:pPr>
        <w:pStyle w:val="Nadpis3"/>
      </w:pPr>
      <w:r w:rsidRPr="009250EE">
        <w:t>Kdo stížnost vyřizuje</w:t>
      </w:r>
    </w:p>
    <w:p w14:paraId="2E90175B" w14:textId="77777777" w:rsidR="00ED0C49" w:rsidRDefault="00ED0C49" w:rsidP="00ED0C49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70A4418E">
        <w:t>stížnosti směřované proti vedoucí</w:t>
      </w:r>
      <w:r>
        <w:t xml:space="preserve"> </w:t>
      </w:r>
      <w:r w:rsidRPr="70A4418E">
        <w:t xml:space="preserve">služby vyřizuje pracovník pověřený ředitelkou Diecézní charity Litoměřice </w:t>
      </w:r>
    </w:p>
    <w:p w14:paraId="68DCBB33" w14:textId="77777777" w:rsidR="00ED0C49" w:rsidRDefault="00ED0C49" w:rsidP="00ED0C49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70A4418E">
        <w:t xml:space="preserve"> ostatní stížnosti vyřizuje vedoucí služby </w:t>
      </w:r>
    </w:p>
    <w:p w14:paraId="4773EACF" w14:textId="309DAA2C" w:rsidR="00ED0C49" w:rsidRDefault="009250EE" w:rsidP="002E3724">
      <w:pPr>
        <w:spacing w:line="360" w:lineRule="auto"/>
        <w:jc w:val="both"/>
      </w:pPr>
      <w:r>
        <w:t xml:space="preserve"> </w:t>
      </w:r>
    </w:p>
    <w:p w14:paraId="4503E77B" w14:textId="77777777" w:rsidR="00ED0C49" w:rsidRPr="00194E9C" w:rsidRDefault="00ED0C49" w:rsidP="00ED0C49">
      <w:pPr>
        <w:pStyle w:val="Odstavecseseznamem"/>
        <w:spacing w:line="360" w:lineRule="auto"/>
        <w:jc w:val="both"/>
      </w:pPr>
    </w:p>
    <w:p w14:paraId="41D4432F" w14:textId="1ECADCA1" w:rsidR="00ED0C49" w:rsidRDefault="002E3724" w:rsidP="00ED0C49">
      <w:pPr>
        <w:pStyle w:val="Nadpis3"/>
        <w:spacing w:line="360" w:lineRule="auto"/>
        <w:jc w:val="both"/>
      </w:pPr>
      <w:r>
        <w:t xml:space="preserve">Jak bude stížnost vyřízena  </w:t>
      </w:r>
    </w:p>
    <w:p w14:paraId="07223254" w14:textId="033A24EE" w:rsidR="00ED0C49" w:rsidRPr="00BD76B4" w:rsidRDefault="00ED0C49" w:rsidP="00ED0C4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Pokud je stížnost podána oprávněnou osobou v předpokládané formě: </w:t>
      </w:r>
    </w:p>
    <w:p w14:paraId="6C5D1D37" w14:textId="1BDE19FC" w:rsidR="00ED0C49" w:rsidRPr="00D476F1" w:rsidRDefault="00ED0C49" w:rsidP="00ED0C49">
      <w:pPr>
        <w:pStyle w:val="Odstavecseseznamem"/>
        <w:numPr>
          <w:ilvl w:val="0"/>
          <w:numId w:val="2"/>
        </w:numPr>
        <w:spacing w:before="0" w:after="160" w:line="360" w:lineRule="auto"/>
        <w:jc w:val="both"/>
      </w:pPr>
      <w:r w:rsidRPr="70A4418E">
        <w:t>Pracovník odpovědný za vyřízení stížnosti informuje stěžovatele, že byl zahájen stížnostní proces a určí lhůtu (max. 30 dnů od doručení), do které bude stížnost vyřízena a navrhne   stěžovateli ústní projednání stížnosti, pokud je to s ohledem na charakter stížnosti vhodné.  Pracovn</w:t>
      </w:r>
      <w:r w:rsidR="002E3724">
        <w:t>ík</w:t>
      </w:r>
      <w:r w:rsidRPr="70A4418E">
        <w:t xml:space="preserve"> odpovědn</w:t>
      </w:r>
      <w:r w:rsidR="002E3724">
        <w:t>ý</w:t>
      </w:r>
      <w:r w:rsidRPr="70A4418E">
        <w:t xml:space="preserve"> za vyřízení stížnosti se seznámí s obsahem stížnosti a projedná jej se všemi</w:t>
      </w:r>
      <w:r w:rsidR="002E3724">
        <w:t xml:space="preserve"> </w:t>
      </w:r>
      <w:r w:rsidRPr="70A4418E">
        <w:t>dotčenými, shromáždí a seznámí se se všemi relevantními podklady, které jsou podstatné pro vyřízení stížnosti.</w:t>
      </w:r>
    </w:p>
    <w:p w14:paraId="4B36AF81" w14:textId="7096F3EF" w:rsidR="00ED0C49" w:rsidRPr="00D476F1" w:rsidRDefault="00ED0C49" w:rsidP="00ED0C49">
      <w:pPr>
        <w:pStyle w:val="Odstavecseseznamem"/>
        <w:numPr>
          <w:ilvl w:val="0"/>
          <w:numId w:val="2"/>
        </w:numPr>
        <w:spacing w:before="0" w:after="160" w:line="360" w:lineRule="auto"/>
        <w:jc w:val="both"/>
      </w:pPr>
      <w:r w:rsidRPr="70A4418E">
        <w:lastRenderedPageBreak/>
        <w:t>Pokud stěžovatel nesouhlasí s výsledkem ústního projednání, vyřídí odpovědn</w:t>
      </w:r>
      <w:r w:rsidR="002E3724">
        <w:t>ý</w:t>
      </w:r>
      <w:r w:rsidRPr="70A4418E">
        <w:t xml:space="preserve"> pracovn</w:t>
      </w:r>
      <w:r w:rsidR="002E3724">
        <w:t>ík</w:t>
      </w:r>
      <w:r w:rsidRPr="70A4418E">
        <w:t xml:space="preserve"> stížnost písemně. Písemné vyřízení obsahuje shrnutí podání stěžovatele, podklady, které byly využity, zjištění týkající se stížnosti a vyjádření k předmětu stížnosti a jeho zdůvodnění, popis přijatých, či doporučených opatření vyplývajících ze závěrů. Při vyřizování stížnosti je zkoumán především soulad mezi postupy a činností služby a jejích pracovníků a příslušnými právními předpisy, vnitřními předpisy organizace, vč. etických kodexů a legitimními očekáváními směrem ke službě a jejím pracovníkům.</w:t>
      </w:r>
    </w:p>
    <w:p w14:paraId="528E88A6" w14:textId="052D9250" w:rsidR="00ED0C49" w:rsidRPr="00015BE2" w:rsidRDefault="00ED0C49" w:rsidP="002E3724">
      <w:pPr>
        <w:pStyle w:val="Odstavecseseznamem"/>
        <w:numPr>
          <w:ilvl w:val="0"/>
          <w:numId w:val="2"/>
        </w:numPr>
        <w:spacing w:before="0" w:after="160" w:line="360" w:lineRule="auto"/>
        <w:jc w:val="both"/>
      </w:pPr>
      <w:r w:rsidRPr="544EEA91">
        <w:t>Pracovn</w:t>
      </w:r>
      <w:r>
        <w:t>ík</w:t>
      </w:r>
      <w:r w:rsidRPr="544EEA91">
        <w:t xml:space="preserve"> odpovědn</w:t>
      </w:r>
      <w:r>
        <w:t>ý</w:t>
      </w:r>
      <w:r w:rsidRPr="544EEA91">
        <w:t xml:space="preserve"> za vyřízení stížnosti zajistí doručení písemného vyřízení stížnosti stěžovateli</w:t>
      </w:r>
      <w:r w:rsidR="002E3724">
        <w:t xml:space="preserve">.   </w:t>
      </w:r>
    </w:p>
    <w:p w14:paraId="2B962823" w14:textId="77777777" w:rsidR="002E3724" w:rsidRDefault="002E3724" w:rsidP="002E3724">
      <w:pPr>
        <w:spacing w:line="360" w:lineRule="auto"/>
        <w:jc w:val="both"/>
      </w:pPr>
    </w:p>
    <w:p w14:paraId="3A8E8B80" w14:textId="77777777" w:rsidR="002E3724" w:rsidRDefault="002E3724" w:rsidP="002E3724">
      <w:pPr>
        <w:pStyle w:val="Nadpis3"/>
      </w:pPr>
      <w:r>
        <w:t>Postup při nedodržení lhůt</w:t>
      </w:r>
    </w:p>
    <w:p w14:paraId="098A7D9A" w14:textId="77777777" w:rsidR="002E3724" w:rsidRDefault="002E3724" w:rsidP="002E3724">
      <w:pPr>
        <w:spacing w:line="360" w:lineRule="auto"/>
        <w:jc w:val="both"/>
      </w:pPr>
      <w:r>
        <w:t xml:space="preserve">Pracovník odpovědný za vyřízení stížnosti může v odůvodněných případech rozhodnout o prodloužení lhůty pro vyřízení stížnosti o dalších 30 dnů; o prodloužení lhůty a důvodech jejího prodloužení informuje odpovědný pracovník stěžovatele. </w:t>
      </w:r>
    </w:p>
    <w:p w14:paraId="21013718" w14:textId="77777777" w:rsidR="002E3724" w:rsidRDefault="002E3724" w:rsidP="002E3724">
      <w:pPr>
        <w:spacing w:line="360" w:lineRule="auto"/>
        <w:jc w:val="both"/>
      </w:pPr>
    </w:p>
    <w:p w14:paraId="46AB4565" w14:textId="77777777" w:rsidR="002E3724" w:rsidRDefault="002E3724" w:rsidP="002E3724">
      <w:pPr>
        <w:pStyle w:val="Nadpis3"/>
      </w:pPr>
      <w:r>
        <w:t xml:space="preserve"> Výjimky</w:t>
      </w:r>
    </w:p>
    <w:p w14:paraId="33921DF1" w14:textId="77777777" w:rsidR="002E3724" w:rsidRDefault="002E3724" w:rsidP="002E3724">
      <w:pPr>
        <w:spacing w:line="360" w:lineRule="auto"/>
        <w:jc w:val="both"/>
      </w:pPr>
      <w:r>
        <w:t>Podle tohoto řádu není postupováno:</w:t>
      </w:r>
    </w:p>
    <w:p w14:paraId="07936FC2" w14:textId="77777777" w:rsidR="002E3724" w:rsidRDefault="002E3724" w:rsidP="002E3724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>pokud je stížnost podána anonymně, či stěžovatelem, který není oprávněn stížnost podat</w:t>
      </w:r>
    </w:p>
    <w:p w14:paraId="3E332AB6" w14:textId="77777777" w:rsidR="002E3724" w:rsidRDefault="002E3724" w:rsidP="002E3724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 xml:space="preserve">pokud se obsah stížnosti netýká </w:t>
      </w:r>
      <w:r w:rsidRPr="00CA417F">
        <w:rPr>
          <w:rFonts w:cstheme="minorHAnsi"/>
        </w:rPr>
        <w:t>postupu poskytovatele při poskytování zdravotních služeb činnost</w:t>
      </w:r>
      <w:r>
        <w:rPr>
          <w:rFonts w:cstheme="minorHAnsi"/>
        </w:rPr>
        <w:t>í</w:t>
      </w:r>
      <w:r w:rsidRPr="00CA417F">
        <w:rPr>
          <w:rFonts w:cstheme="minorHAnsi"/>
        </w:rPr>
        <w:t xml:space="preserve"> související</w:t>
      </w:r>
      <w:r>
        <w:rPr>
          <w:rFonts w:cstheme="minorHAnsi"/>
        </w:rPr>
        <w:t>ch</w:t>
      </w:r>
      <w:r w:rsidRPr="00CA417F">
        <w:rPr>
          <w:rFonts w:cstheme="minorHAnsi"/>
        </w:rPr>
        <w:t xml:space="preserve"> se zdravotními službami</w:t>
      </w:r>
      <w:r>
        <w:rPr>
          <w:rFonts w:cstheme="minorHAnsi"/>
        </w:rPr>
        <w:t xml:space="preserve"> </w:t>
      </w:r>
    </w:p>
    <w:p w14:paraId="4BFA5BA9" w14:textId="77777777" w:rsidR="002E3724" w:rsidRDefault="002E3724" w:rsidP="002E3724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 xml:space="preserve">pokud již byla obsahově shodná stížnost téhož stěžovatele v minulosti písemně vyřízena a podání neobsahuje žádné nové skutečnosti </w:t>
      </w:r>
    </w:p>
    <w:p w14:paraId="5E9B508A" w14:textId="77777777" w:rsidR="002E3724" w:rsidRDefault="002E3724" w:rsidP="002E3724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 xml:space="preserve">pokud je stížnost podána </w:t>
      </w:r>
      <w:r w:rsidRPr="0029582C">
        <w:t xml:space="preserve">lhůtě </w:t>
      </w:r>
      <w:r>
        <w:t xml:space="preserve">delší než </w:t>
      </w:r>
      <w:r w:rsidRPr="0029582C">
        <w:t>1 rok ode dne, kdy nastala skutečnost, která je předmětem stížnosti </w:t>
      </w:r>
    </w:p>
    <w:p w14:paraId="076D986D" w14:textId="77777777" w:rsidR="002E3724" w:rsidRDefault="002E3724" w:rsidP="002E3724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 xml:space="preserve">pokud je podnět pacienta odborně vyhodnocen jako zcela zjevný projev onemocnění a nic nenasvědčuje tomu, že by tvrzení obsažená v podnětu mohla mít reálný základ. Ve sporných případech je podnět klienta konzultován v týmu zdravotnických pracovníků.  </w:t>
      </w:r>
    </w:p>
    <w:p w14:paraId="127D3C5B" w14:textId="77777777" w:rsidR="002E3724" w:rsidRDefault="002E3724" w:rsidP="002E3724">
      <w:pPr>
        <w:spacing w:line="360" w:lineRule="auto"/>
        <w:jc w:val="both"/>
      </w:pPr>
      <w:r>
        <w:t xml:space="preserve">Vedoucí služby prověří takováto podání jiným vhodným způsobem. Způsob prověření volí vedoucí služby zejména s cílem </w:t>
      </w:r>
      <w:r w:rsidRPr="00272FAE">
        <w:t xml:space="preserve">respektovat a chránit soukromí, integritu a důstojnost osob, kterým poskytují </w:t>
      </w:r>
      <w:r>
        <w:t xml:space="preserve">zdravotnické služby a s cílem využít zpětných vazeb ke zvyšování kvality sociální služby.  </w:t>
      </w:r>
    </w:p>
    <w:p w14:paraId="05FFBC79" w14:textId="77777777" w:rsidR="007C0B79" w:rsidRDefault="007C0B79"/>
    <w:sectPr w:rsidR="007C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F4B0"/>
    <w:multiLevelType w:val="hybridMultilevel"/>
    <w:tmpl w:val="1744F010"/>
    <w:lvl w:ilvl="0" w:tplc="1A5A5786">
      <w:start w:val="1"/>
      <w:numFmt w:val="lowerLetter"/>
      <w:lvlText w:val="%1)"/>
      <w:lvlJc w:val="left"/>
      <w:pPr>
        <w:ind w:left="720" w:hanging="360"/>
      </w:pPr>
    </w:lvl>
    <w:lvl w:ilvl="1" w:tplc="1550E020">
      <w:start w:val="1"/>
      <w:numFmt w:val="lowerLetter"/>
      <w:lvlText w:val="%2."/>
      <w:lvlJc w:val="left"/>
      <w:pPr>
        <w:ind w:left="1440" w:hanging="360"/>
      </w:pPr>
    </w:lvl>
    <w:lvl w:ilvl="2" w:tplc="D5CEFC64">
      <w:start w:val="1"/>
      <w:numFmt w:val="lowerRoman"/>
      <w:lvlText w:val="%3."/>
      <w:lvlJc w:val="right"/>
      <w:pPr>
        <w:ind w:left="2160" w:hanging="180"/>
      </w:pPr>
    </w:lvl>
    <w:lvl w:ilvl="3" w:tplc="3B14C554">
      <w:start w:val="1"/>
      <w:numFmt w:val="decimal"/>
      <w:lvlText w:val="%4."/>
      <w:lvlJc w:val="left"/>
      <w:pPr>
        <w:ind w:left="2880" w:hanging="360"/>
      </w:pPr>
    </w:lvl>
    <w:lvl w:ilvl="4" w:tplc="B34257B4">
      <w:start w:val="1"/>
      <w:numFmt w:val="lowerLetter"/>
      <w:lvlText w:val="%5."/>
      <w:lvlJc w:val="left"/>
      <w:pPr>
        <w:ind w:left="3600" w:hanging="360"/>
      </w:pPr>
    </w:lvl>
    <w:lvl w:ilvl="5" w:tplc="FC3AC662">
      <w:start w:val="1"/>
      <w:numFmt w:val="lowerRoman"/>
      <w:lvlText w:val="%6."/>
      <w:lvlJc w:val="right"/>
      <w:pPr>
        <w:ind w:left="4320" w:hanging="180"/>
      </w:pPr>
    </w:lvl>
    <w:lvl w:ilvl="6" w:tplc="4162D4C2">
      <w:start w:val="1"/>
      <w:numFmt w:val="decimal"/>
      <w:lvlText w:val="%7."/>
      <w:lvlJc w:val="left"/>
      <w:pPr>
        <w:ind w:left="5040" w:hanging="360"/>
      </w:pPr>
    </w:lvl>
    <w:lvl w:ilvl="7" w:tplc="C114C488">
      <w:start w:val="1"/>
      <w:numFmt w:val="lowerLetter"/>
      <w:lvlText w:val="%8."/>
      <w:lvlJc w:val="left"/>
      <w:pPr>
        <w:ind w:left="5760" w:hanging="360"/>
      </w:pPr>
    </w:lvl>
    <w:lvl w:ilvl="8" w:tplc="51F233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ED89"/>
    <w:multiLevelType w:val="hybridMultilevel"/>
    <w:tmpl w:val="5E96FBE8"/>
    <w:lvl w:ilvl="0" w:tplc="A0AC8BE0">
      <w:start w:val="1"/>
      <w:numFmt w:val="lowerLetter"/>
      <w:lvlText w:val="%1)"/>
      <w:lvlJc w:val="left"/>
      <w:pPr>
        <w:ind w:left="768" w:hanging="360"/>
      </w:pPr>
    </w:lvl>
    <w:lvl w:ilvl="1" w:tplc="8A88F53C">
      <w:start w:val="1"/>
      <w:numFmt w:val="lowerLetter"/>
      <w:lvlText w:val="%2."/>
      <w:lvlJc w:val="left"/>
      <w:pPr>
        <w:ind w:left="1488" w:hanging="360"/>
      </w:pPr>
    </w:lvl>
    <w:lvl w:ilvl="2" w:tplc="94B6B13C">
      <w:start w:val="1"/>
      <w:numFmt w:val="lowerRoman"/>
      <w:lvlText w:val="%3."/>
      <w:lvlJc w:val="right"/>
      <w:pPr>
        <w:ind w:left="2208" w:hanging="180"/>
      </w:pPr>
    </w:lvl>
    <w:lvl w:ilvl="3" w:tplc="E79CD2A0">
      <w:start w:val="1"/>
      <w:numFmt w:val="decimal"/>
      <w:lvlText w:val="%4."/>
      <w:lvlJc w:val="left"/>
      <w:pPr>
        <w:ind w:left="2928" w:hanging="360"/>
      </w:pPr>
    </w:lvl>
    <w:lvl w:ilvl="4" w:tplc="0122F860">
      <w:start w:val="1"/>
      <w:numFmt w:val="lowerLetter"/>
      <w:lvlText w:val="%5."/>
      <w:lvlJc w:val="left"/>
      <w:pPr>
        <w:ind w:left="3648" w:hanging="360"/>
      </w:pPr>
    </w:lvl>
    <w:lvl w:ilvl="5" w:tplc="2F32ED82">
      <w:start w:val="1"/>
      <w:numFmt w:val="lowerRoman"/>
      <w:lvlText w:val="%6."/>
      <w:lvlJc w:val="right"/>
      <w:pPr>
        <w:ind w:left="4368" w:hanging="180"/>
      </w:pPr>
    </w:lvl>
    <w:lvl w:ilvl="6" w:tplc="466CEC34">
      <w:start w:val="1"/>
      <w:numFmt w:val="decimal"/>
      <w:lvlText w:val="%7."/>
      <w:lvlJc w:val="left"/>
      <w:pPr>
        <w:ind w:left="5088" w:hanging="360"/>
      </w:pPr>
    </w:lvl>
    <w:lvl w:ilvl="7" w:tplc="1A7EBCFE">
      <w:start w:val="1"/>
      <w:numFmt w:val="lowerLetter"/>
      <w:lvlText w:val="%8."/>
      <w:lvlJc w:val="left"/>
      <w:pPr>
        <w:ind w:left="5808" w:hanging="360"/>
      </w:pPr>
    </w:lvl>
    <w:lvl w:ilvl="8" w:tplc="FBF8061C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10387903"/>
    <w:multiLevelType w:val="hybridMultilevel"/>
    <w:tmpl w:val="FADC6FD6"/>
    <w:lvl w:ilvl="0" w:tplc="7B2488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7F23"/>
    <w:multiLevelType w:val="hybridMultilevel"/>
    <w:tmpl w:val="56E04CCC"/>
    <w:lvl w:ilvl="0" w:tplc="DDFE127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C74F0"/>
    <w:multiLevelType w:val="hybridMultilevel"/>
    <w:tmpl w:val="BD66A388"/>
    <w:lvl w:ilvl="0" w:tplc="0C1AB2EC">
      <w:start w:val="1"/>
      <w:numFmt w:val="lowerLetter"/>
      <w:lvlText w:val="%1)"/>
      <w:lvlJc w:val="left"/>
      <w:pPr>
        <w:ind w:left="1080" w:hanging="360"/>
      </w:pPr>
    </w:lvl>
    <w:lvl w:ilvl="1" w:tplc="BCCC82DC">
      <w:start w:val="1"/>
      <w:numFmt w:val="lowerLetter"/>
      <w:lvlText w:val="%2."/>
      <w:lvlJc w:val="left"/>
      <w:pPr>
        <w:ind w:left="1800" w:hanging="360"/>
      </w:pPr>
    </w:lvl>
    <w:lvl w:ilvl="2" w:tplc="A9244368">
      <w:start w:val="1"/>
      <w:numFmt w:val="lowerRoman"/>
      <w:lvlText w:val="%3."/>
      <w:lvlJc w:val="right"/>
      <w:pPr>
        <w:ind w:left="2520" w:hanging="180"/>
      </w:pPr>
    </w:lvl>
    <w:lvl w:ilvl="3" w:tplc="4D6CBBA2">
      <w:start w:val="1"/>
      <w:numFmt w:val="decimal"/>
      <w:lvlText w:val="%4."/>
      <w:lvlJc w:val="left"/>
      <w:pPr>
        <w:ind w:left="3240" w:hanging="360"/>
      </w:pPr>
    </w:lvl>
    <w:lvl w:ilvl="4" w:tplc="ACBE69FA">
      <w:start w:val="1"/>
      <w:numFmt w:val="lowerLetter"/>
      <w:lvlText w:val="%5."/>
      <w:lvlJc w:val="left"/>
      <w:pPr>
        <w:ind w:left="3960" w:hanging="360"/>
      </w:pPr>
    </w:lvl>
    <w:lvl w:ilvl="5" w:tplc="03645274">
      <w:start w:val="1"/>
      <w:numFmt w:val="lowerRoman"/>
      <w:lvlText w:val="%6."/>
      <w:lvlJc w:val="right"/>
      <w:pPr>
        <w:ind w:left="4680" w:hanging="180"/>
      </w:pPr>
    </w:lvl>
    <w:lvl w:ilvl="6" w:tplc="C4A0A75A">
      <w:start w:val="1"/>
      <w:numFmt w:val="decimal"/>
      <w:lvlText w:val="%7."/>
      <w:lvlJc w:val="left"/>
      <w:pPr>
        <w:ind w:left="5400" w:hanging="360"/>
      </w:pPr>
    </w:lvl>
    <w:lvl w:ilvl="7" w:tplc="C6064EAA">
      <w:start w:val="1"/>
      <w:numFmt w:val="lowerLetter"/>
      <w:lvlText w:val="%8."/>
      <w:lvlJc w:val="left"/>
      <w:pPr>
        <w:ind w:left="6120" w:hanging="360"/>
      </w:pPr>
    </w:lvl>
    <w:lvl w:ilvl="8" w:tplc="580427A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A6C76"/>
    <w:multiLevelType w:val="hybridMultilevel"/>
    <w:tmpl w:val="82E88310"/>
    <w:lvl w:ilvl="0" w:tplc="1A5A578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2CB1"/>
    <w:multiLevelType w:val="hybridMultilevel"/>
    <w:tmpl w:val="81121F9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E614BE"/>
    <w:multiLevelType w:val="hybridMultilevel"/>
    <w:tmpl w:val="FF40C1FA"/>
    <w:lvl w:ilvl="0" w:tplc="4B6E3438">
      <w:start w:val="1"/>
      <w:numFmt w:val="lowerLetter"/>
      <w:lvlText w:val="%1)"/>
      <w:lvlJc w:val="left"/>
      <w:pPr>
        <w:ind w:left="720" w:hanging="360"/>
      </w:pPr>
    </w:lvl>
    <w:lvl w:ilvl="1" w:tplc="BA1C3308">
      <w:start w:val="1"/>
      <w:numFmt w:val="lowerLetter"/>
      <w:lvlText w:val="%2."/>
      <w:lvlJc w:val="left"/>
      <w:pPr>
        <w:ind w:left="1440" w:hanging="360"/>
      </w:pPr>
    </w:lvl>
    <w:lvl w:ilvl="2" w:tplc="48FA2BA4">
      <w:start w:val="1"/>
      <w:numFmt w:val="lowerRoman"/>
      <w:lvlText w:val="%3."/>
      <w:lvlJc w:val="right"/>
      <w:pPr>
        <w:ind w:left="2160" w:hanging="180"/>
      </w:pPr>
    </w:lvl>
    <w:lvl w:ilvl="3" w:tplc="B77ED936">
      <w:start w:val="1"/>
      <w:numFmt w:val="decimal"/>
      <w:lvlText w:val="%4."/>
      <w:lvlJc w:val="left"/>
      <w:pPr>
        <w:ind w:left="2880" w:hanging="360"/>
      </w:pPr>
    </w:lvl>
    <w:lvl w:ilvl="4" w:tplc="6AD0420A">
      <w:start w:val="1"/>
      <w:numFmt w:val="lowerLetter"/>
      <w:lvlText w:val="%5."/>
      <w:lvlJc w:val="left"/>
      <w:pPr>
        <w:ind w:left="3600" w:hanging="360"/>
      </w:pPr>
    </w:lvl>
    <w:lvl w:ilvl="5" w:tplc="D67E59A2">
      <w:start w:val="1"/>
      <w:numFmt w:val="lowerRoman"/>
      <w:lvlText w:val="%6."/>
      <w:lvlJc w:val="right"/>
      <w:pPr>
        <w:ind w:left="4320" w:hanging="180"/>
      </w:pPr>
    </w:lvl>
    <w:lvl w:ilvl="6" w:tplc="00D66656">
      <w:start w:val="1"/>
      <w:numFmt w:val="decimal"/>
      <w:lvlText w:val="%7."/>
      <w:lvlJc w:val="left"/>
      <w:pPr>
        <w:ind w:left="5040" w:hanging="360"/>
      </w:pPr>
    </w:lvl>
    <w:lvl w:ilvl="7" w:tplc="4C167298">
      <w:start w:val="1"/>
      <w:numFmt w:val="lowerLetter"/>
      <w:lvlText w:val="%8."/>
      <w:lvlJc w:val="left"/>
      <w:pPr>
        <w:ind w:left="5760" w:hanging="360"/>
      </w:pPr>
    </w:lvl>
    <w:lvl w:ilvl="8" w:tplc="D2C800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49"/>
    <w:rsid w:val="001C5A6C"/>
    <w:rsid w:val="002E3724"/>
    <w:rsid w:val="007C0B79"/>
    <w:rsid w:val="008B1204"/>
    <w:rsid w:val="009250EE"/>
    <w:rsid w:val="00E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3C1E"/>
  <w15:chartTrackingRefBased/>
  <w15:docId w15:val="{08D7FC2A-E894-4931-93CD-BB96992B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0EE"/>
  </w:style>
  <w:style w:type="paragraph" w:styleId="Nadpis1">
    <w:name w:val="heading 1"/>
    <w:basedOn w:val="Normln"/>
    <w:next w:val="Normln"/>
    <w:link w:val="Nadpis1Char"/>
    <w:uiPriority w:val="9"/>
    <w:qFormat/>
    <w:rsid w:val="009250EE"/>
    <w:pPr>
      <w:pBdr>
        <w:top w:val="single" w:sz="24" w:space="0" w:color="A61515" w:themeColor="accent1"/>
        <w:left w:val="single" w:sz="24" w:space="0" w:color="A61515" w:themeColor="accent1"/>
        <w:bottom w:val="single" w:sz="24" w:space="0" w:color="A61515" w:themeColor="accent1"/>
        <w:right w:val="single" w:sz="24" w:space="0" w:color="A61515" w:themeColor="accent1"/>
      </w:pBdr>
      <w:shd w:val="clear" w:color="auto" w:fill="A6151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50EE"/>
    <w:pPr>
      <w:pBdr>
        <w:top w:val="single" w:sz="24" w:space="0" w:color="F7C5C5" w:themeColor="accent1" w:themeTint="33"/>
        <w:left w:val="single" w:sz="24" w:space="0" w:color="F7C5C5" w:themeColor="accent1" w:themeTint="33"/>
        <w:bottom w:val="single" w:sz="24" w:space="0" w:color="F7C5C5" w:themeColor="accent1" w:themeTint="33"/>
        <w:right w:val="single" w:sz="24" w:space="0" w:color="F7C5C5" w:themeColor="accent1" w:themeTint="33"/>
      </w:pBdr>
      <w:shd w:val="clear" w:color="auto" w:fill="F7C5C5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50EE"/>
    <w:pPr>
      <w:pBdr>
        <w:top w:val="single" w:sz="6" w:space="2" w:color="A61515" w:themeColor="accent1"/>
      </w:pBdr>
      <w:spacing w:before="300" w:after="0"/>
      <w:outlineLvl w:val="2"/>
    </w:pPr>
    <w:rPr>
      <w:caps/>
      <w:color w:val="520A0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50EE"/>
    <w:pPr>
      <w:pBdr>
        <w:top w:val="dotted" w:sz="6" w:space="2" w:color="A61515" w:themeColor="accent1"/>
      </w:pBdr>
      <w:spacing w:before="200" w:after="0"/>
      <w:outlineLvl w:val="3"/>
    </w:pPr>
    <w:rPr>
      <w:caps/>
      <w:color w:val="7C0F0F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50EE"/>
    <w:pPr>
      <w:pBdr>
        <w:bottom w:val="single" w:sz="6" w:space="1" w:color="A61515" w:themeColor="accent1"/>
      </w:pBdr>
      <w:spacing w:before="200" w:after="0"/>
      <w:outlineLvl w:val="4"/>
    </w:pPr>
    <w:rPr>
      <w:caps/>
      <w:color w:val="7C0F0F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50EE"/>
    <w:pPr>
      <w:pBdr>
        <w:bottom w:val="dotted" w:sz="6" w:space="1" w:color="A61515" w:themeColor="accent1"/>
      </w:pBdr>
      <w:spacing w:before="200" w:after="0"/>
      <w:outlineLvl w:val="5"/>
    </w:pPr>
    <w:rPr>
      <w:caps/>
      <w:color w:val="7C0F0F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50EE"/>
    <w:pPr>
      <w:spacing w:before="200" w:after="0"/>
      <w:outlineLvl w:val="6"/>
    </w:pPr>
    <w:rPr>
      <w:caps/>
      <w:color w:val="7C0F0F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50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50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rsid w:val="001C5A6C"/>
    <w:pPr>
      <w:pBdr>
        <w:top w:val="single" w:sz="6" w:space="2" w:color="A61515"/>
      </w:pBdr>
      <w:spacing w:before="300" w:after="0" w:line="360" w:lineRule="auto"/>
      <w:jc w:val="both"/>
      <w:outlineLvl w:val="2"/>
    </w:pPr>
    <w:rPr>
      <w:rFonts w:ascii="Calibri" w:eastAsia="Times New Roman" w:hAnsi="Calibri" w:cs="Times New Roman"/>
      <w:caps/>
      <w:color w:val="520A0A"/>
      <w:spacing w:val="15"/>
    </w:rPr>
  </w:style>
  <w:style w:type="character" w:customStyle="1" w:styleId="Styl1Char">
    <w:name w:val="Styl1 Char"/>
    <w:basedOn w:val="Standardnpsmoodstavce"/>
    <w:link w:val="Styl1"/>
    <w:rsid w:val="001C5A6C"/>
    <w:rPr>
      <w:rFonts w:ascii="Calibri" w:eastAsia="Times New Roman" w:hAnsi="Calibri" w:cs="Times New Roman"/>
      <w:caps/>
      <w:color w:val="520A0A"/>
      <w:spacing w:val="15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9250EE"/>
    <w:rPr>
      <w:caps/>
      <w:spacing w:val="15"/>
      <w:shd w:val="clear" w:color="auto" w:fill="F7C5C5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9250EE"/>
    <w:rPr>
      <w:caps/>
      <w:color w:val="520A0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9250EE"/>
    <w:rPr>
      <w:caps/>
      <w:color w:val="7C0F0F" w:themeColor="accent1" w:themeShade="BF"/>
      <w:spacing w:val="10"/>
    </w:rPr>
  </w:style>
  <w:style w:type="paragraph" w:styleId="Odstavecseseznamem">
    <w:name w:val="List Paragraph"/>
    <w:basedOn w:val="Normln"/>
    <w:uiPriority w:val="34"/>
    <w:qFormat/>
    <w:rsid w:val="009250EE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D0C4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9250EE"/>
    <w:rPr>
      <w:caps/>
      <w:color w:val="FFFFFF" w:themeColor="background1"/>
      <w:spacing w:val="15"/>
      <w:sz w:val="22"/>
      <w:szCs w:val="22"/>
      <w:shd w:val="clear" w:color="auto" w:fill="A61515" w:themeFill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50EE"/>
    <w:rPr>
      <w:caps/>
      <w:color w:val="7C0F0F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50EE"/>
    <w:rPr>
      <w:caps/>
      <w:color w:val="7C0F0F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50EE"/>
    <w:rPr>
      <w:caps/>
      <w:color w:val="7C0F0F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50E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50E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250EE"/>
    <w:rPr>
      <w:b/>
      <w:bCs/>
      <w:color w:val="7C0F0F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250EE"/>
    <w:pPr>
      <w:spacing w:before="0" w:after="0"/>
    </w:pPr>
    <w:rPr>
      <w:rFonts w:asciiTheme="majorHAnsi" w:eastAsiaTheme="majorEastAsia" w:hAnsiTheme="majorHAnsi" w:cstheme="majorBidi"/>
      <w:caps/>
      <w:color w:val="A6151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250EE"/>
    <w:rPr>
      <w:rFonts w:asciiTheme="majorHAnsi" w:eastAsiaTheme="majorEastAsia" w:hAnsiTheme="majorHAnsi" w:cstheme="majorBidi"/>
      <w:caps/>
      <w:color w:val="A61515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50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9250E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9250EE"/>
    <w:rPr>
      <w:b/>
      <w:bCs/>
    </w:rPr>
  </w:style>
  <w:style w:type="character" w:styleId="Zdraznn">
    <w:name w:val="Emphasis"/>
    <w:uiPriority w:val="20"/>
    <w:qFormat/>
    <w:rsid w:val="009250EE"/>
    <w:rPr>
      <w:caps/>
      <w:color w:val="520A0A" w:themeColor="accent1" w:themeShade="7F"/>
      <w:spacing w:val="5"/>
    </w:rPr>
  </w:style>
  <w:style w:type="paragraph" w:styleId="Bezmezer">
    <w:name w:val="No Spacing"/>
    <w:uiPriority w:val="1"/>
    <w:qFormat/>
    <w:rsid w:val="009250E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250E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250E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50EE"/>
    <w:pPr>
      <w:spacing w:before="240" w:after="240" w:line="240" w:lineRule="auto"/>
      <w:ind w:left="1080" w:right="1080"/>
      <w:jc w:val="center"/>
    </w:pPr>
    <w:rPr>
      <w:color w:val="A6151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50EE"/>
    <w:rPr>
      <w:color w:val="A61515" w:themeColor="accent1"/>
      <w:sz w:val="24"/>
      <w:szCs w:val="24"/>
    </w:rPr>
  </w:style>
  <w:style w:type="character" w:styleId="Zdraznnjemn">
    <w:name w:val="Subtle Emphasis"/>
    <w:uiPriority w:val="19"/>
    <w:qFormat/>
    <w:rsid w:val="009250EE"/>
    <w:rPr>
      <w:i/>
      <w:iCs/>
      <w:color w:val="520A0A" w:themeColor="accent1" w:themeShade="7F"/>
    </w:rPr>
  </w:style>
  <w:style w:type="character" w:styleId="Zdraznnintenzivn">
    <w:name w:val="Intense Emphasis"/>
    <w:uiPriority w:val="21"/>
    <w:qFormat/>
    <w:rsid w:val="009250EE"/>
    <w:rPr>
      <w:b/>
      <w:bCs/>
      <w:caps/>
      <w:color w:val="520A0A" w:themeColor="accent1" w:themeShade="7F"/>
      <w:spacing w:val="10"/>
    </w:rPr>
  </w:style>
  <w:style w:type="character" w:styleId="Odkazjemn">
    <w:name w:val="Subtle Reference"/>
    <w:uiPriority w:val="31"/>
    <w:qFormat/>
    <w:rsid w:val="009250EE"/>
    <w:rPr>
      <w:b/>
      <w:bCs/>
      <w:color w:val="A61515" w:themeColor="accent1"/>
    </w:rPr>
  </w:style>
  <w:style w:type="character" w:styleId="Odkazintenzivn">
    <w:name w:val="Intense Reference"/>
    <w:uiPriority w:val="32"/>
    <w:qFormat/>
    <w:rsid w:val="009250EE"/>
    <w:rPr>
      <w:b/>
      <w:bCs/>
      <w:i/>
      <w:iCs/>
      <w:caps/>
      <w:color w:val="A61515" w:themeColor="accent1"/>
    </w:rPr>
  </w:style>
  <w:style w:type="character" w:styleId="Nzevknihy">
    <w:name w:val="Book Title"/>
    <w:uiPriority w:val="33"/>
    <w:qFormat/>
    <w:rsid w:val="009250E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250EE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9250EE"/>
    <w:rPr>
      <w:color w:val="CC990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.strizenec@ltm.chari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A61515"/>
      </a:accent1>
      <a:accent2>
        <a:srgbClr val="FFBD47"/>
      </a:accent2>
      <a:accent3>
        <a:srgbClr val="A61515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Striženec Roman, Mgr.</dc:creator>
  <cp:keywords/>
  <dc:description/>
  <cp:lastModifiedBy>Striženec Roman, Mgr.</cp:lastModifiedBy>
  <cp:revision>1</cp:revision>
  <dcterms:created xsi:type="dcterms:W3CDTF">2025-07-03T08:34:00Z</dcterms:created>
  <dcterms:modified xsi:type="dcterms:W3CDTF">2025-07-03T09:16:00Z</dcterms:modified>
</cp:coreProperties>
</file>